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Financial Controller (m/w/d): business partnering and reporting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You analyze the company's financial performance, build the forecast and budget and advise management as a business partner with numbers.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[commercial lead / CFO /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Key responsibilities.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and comment on the monthly management reporting (a P&amp;L bridge, margin per business unit, working capital, cash flow) with a plan-actual analysis and a cause breakdown.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annual budget process and the quarterly forecasts: align assumptions with operational functions, build sensitivity scenarios, validate with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Business partnering with sales, operations, product and HR: pricing analyses, investment cases, headcount planning, margin review of new products.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investment and pricing cases (NPV, IRR, payback, sensitized scenarios) for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Consolidated reporting of several entities or business units, group reporting to the parent or holding company.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Evolve the reporting and BI architecture: automate manual steps, build self-service dashboards, reduce the reporting lag after month-end.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Interface with accounting and the tax adviser: analytical consistency of the cost-center allocation, accruals with a plan effect.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Prepare and accompany the discussions with the auditor, banks and the advisory board or supervisory body.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Profile.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completed business-administration degree with a focus on controlling, finance or accounting (bachelor's or master's) or equivalent experience;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experience in controlling, of which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in a comparable role with autonomy; advanced Excel (Power Query, Power Pivot, dynamic arrays) and command of at least one BI or consolidation tool (Power BI, Tableau, Lucanet, Jedox, SAP CO, IDL Konsis); P&amp;L and balance-sheet reading at HGB level.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SAP CO experience; IFRS familiarity (leasing under IFRS 16, development costs, revenue recognition); SQL basics (reading and writing joins); experience at a multi-site or multi-entity SMB; an international certification (CIMA, CMA, ACCA) or the IHK certified accountant (Bilanzbuchhalter:in); sectoral depth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[our 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autonomous forecast or budget building; no command of bridge analyses (volume, price, mix); pure accounting experience without an analytical profile; rejection of modern BI tools.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What we offer.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[55-85]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k€. No structural variable component; a possible annual profit-share of 5 to 10 %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 (e.g. CIMA, CMA, IHK Bilanzbuchhalter:in, BI certifications)]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[ERP, a BI or consolidation tool, treasury tools, advanced Excel]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Controller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